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A89" w:rsidRDefault="00C13A89" w:rsidP="00482F43">
      <w:pPr>
        <w:jc w:val="center"/>
        <w:rPr>
          <w:b/>
          <w:sz w:val="32"/>
          <w:szCs w:val="32"/>
        </w:rPr>
      </w:pPr>
    </w:p>
    <w:p w:rsidR="001F74A0" w:rsidRPr="00FD2C11" w:rsidRDefault="00B05D39" w:rsidP="00482F43">
      <w:pPr>
        <w:jc w:val="center"/>
        <w:rPr>
          <w:sz w:val="32"/>
          <w:szCs w:val="32"/>
        </w:rPr>
      </w:pPr>
      <w:r>
        <w:rPr>
          <w:noProof/>
          <w:sz w:val="26"/>
          <w:szCs w:val="2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pt;margin-top:49.7pt;width:77.3pt;height:107.6pt;z-index:251657728;mso-wrap-edited:f;mso-width-percent:0;mso-height-percent:0;mso-position-vertical-relative:page;mso-width-percent:0;mso-height-percent:0" o:allowincell="f">
            <v:imagedata r:id="rId7" o:title=""/>
            <w10:wrap type="square" anchory="page"/>
          </v:shape>
          <o:OLEObject Type="Embed" ProgID="MSPhotoEd.3" ShapeID="_x0000_s1026" DrawAspect="Content" ObjectID="_1604143051" r:id="rId8"/>
        </w:object>
      </w:r>
      <w:r w:rsidR="00482F43" w:rsidRPr="00FD2C11">
        <w:rPr>
          <w:sz w:val="32"/>
          <w:szCs w:val="32"/>
        </w:rPr>
        <w:t>FORMULÁRIO DE COMENTÁRIOS E SUGESTÕES</w:t>
      </w:r>
    </w:p>
    <w:p w:rsidR="00C13A89" w:rsidRPr="0096568C" w:rsidRDefault="00C96874" w:rsidP="00BB004F">
      <w:pPr>
        <w:jc w:val="center"/>
        <w:rPr>
          <w:sz w:val="26"/>
          <w:szCs w:val="26"/>
        </w:rPr>
      </w:pPr>
      <w:r>
        <w:rPr>
          <w:sz w:val="26"/>
          <w:szCs w:val="26"/>
        </w:rPr>
        <w:t xml:space="preserve">TOMADA PÚBLICA DE CONTRIBUIÇÕES </w:t>
      </w:r>
      <w:r w:rsidR="00482F43" w:rsidRPr="00BB004F">
        <w:rPr>
          <w:sz w:val="26"/>
          <w:szCs w:val="26"/>
        </w:rPr>
        <w:t>N°</w:t>
      </w:r>
      <w:r w:rsidR="00C13A89">
        <w:rPr>
          <w:sz w:val="26"/>
          <w:szCs w:val="26"/>
        </w:rPr>
        <w:t xml:space="preserve"> </w:t>
      </w:r>
      <w:r w:rsidR="0096568C">
        <w:rPr>
          <w:sz w:val="26"/>
          <w:szCs w:val="26"/>
        </w:rPr>
        <w:t>3</w:t>
      </w:r>
      <w:r w:rsidR="00482F43" w:rsidRPr="00050F3F">
        <w:rPr>
          <w:sz w:val="26"/>
          <w:szCs w:val="26"/>
        </w:rPr>
        <w:t>/</w:t>
      </w:r>
      <w:r w:rsidR="00F229D8" w:rsidRPr="00050F3F">
        <w:rPr>
          <w:sz w:val="26"/>
          <w:szCs w:val="26"/>
        </w:rPr>
        <w:t>201</w:t>
      </w:r>
      <w:r w:rsidR="00CC5472">
        <w:rPr>
          <w:sz w:val="26"/>
          <w:szCs w:val="26"/>
        </w:rPr>
        <w:t>8</w:t>
      </w:r>
      <w:r w:rsidR="00C13A89" w:rsidRPr="0096568C">
        <w:rPr>
          <w:sz w:val="26"/>
          <w:szCs w:val="26"/>
        </w:rPr>
        <w:t>__</w:t>
      </w:r>
      <w:r w:rsidR="00482F43" w:rsidRPr="0096568C">
        <w:rPr>
          <w:sz w:val="26"/>
          <w:szCs w:val="26"/>
        </w:rPr>
        <w:t xml:space="preserve">__ - </w:t>
      </w:r>
      <w:r w:rsidR="00BB004F" w:rsidRPr="0096568C">
        <w:rPr>
          <w:sz w:val="26"/>
          <w:szCs w:val="26"/>
        </w:rPr>
        <w:t xml:space="preserve">DE </w:t>
      </w:r>
      <w:r w:rsidRPr="0096568C">
        <w:rPr>
          <w:sz w:val="26"/>
          <w:szCs w:val="26"/>
        </w:rPr>
        <w:t>2</w:t>
      </w:r>
      <w:r w:rsidR="002555FE" w:rsidRPr="0096568C">
        <w:rPr>
          <w:sz w:val="26"/>
          <w:szCs w:val="26"/>
        </w:rPr>
        <w:t>1</w:t>
      </w:r>
      <w:r w:rsidR="00BB004F" w:rsidRPr="0096568C">
        <w:rPr>
          <w:sz w:val="26"/>
          <w:szCs w:val="26"/>
        </w:rPr>
        <w:t>/</w:t>
      </w:r>
      <w:r w:rsidR="00452D91" w:rsidRPr="0096568C">
        <w:rPr>
          <w:sz w:val="26"/>
          <w:szCs w:val="26"/>
        </w:rPr>
        <w:t>0</w:t>
      </w:r>
      <w:r w:rsidRPr="0096568C">
        <w:rPr>
          <w:sz w:val="26"/>
          <w:szCs w:val="26"/>
        </w:rPr>
        <w:t>9</w:t>
      </w:r>
      <w:r w:rsidR="00BB004F" w:rsidRPr="0096568C">
        <w:rPr>
          <w:sz w:val="26"/>
          <w:szCs w:val="26"/>
        </w:rPr>
        <w:t>/</w:t>
      </w:r>
      <w:r w:rsidR="00F229D8" w:rsidRPr="0096568C">
        <w:rPr>
          <w:sz w:val="26"/>
          <w:szCs w:val="26"/>
        </w:rPr>
        <w:t>201</w:t>
      </w:r>
      <w:r w:rsidR="00CC5472" w:rsidRPr="0096568C">
        <w:rPr>
          <w:sz w:val="26"/>
          <w:szCs w:val="26"/>
        </w:rPr>
        <w:t>8</w:t>
      </w:r>
      <w:r w:rsidR="00BB004F" w:rsidRPr="0096568C">
        <w:rPr>
          <w:sz w:val="26"/>
          <w:szCs w:val="26"/>
        </w:rPr>
        <w:t xml:space="preserve"> </w:t>
      </w:r>
      <w:r w:rsidR="00C13A89" w:rsidRPr="0096568C">
        <w:rPr>
          <w:sz w:val="26"/>
          <w:szCs w:val="26"/>
        </w:rPr>
        <w:t>a</w:t>
      </w:r>
      <w:r w:rsidR="00BB004F" w:rsidRPr="0096568C">
        <w:rPr>
          <w:sz w:val="26"/>
          <w:szCs w:val="26"/>
        </w:rPr>
        <w:t xml:space="preserve"> </w:t>
      </w:r>
      <w:r w:rsidR="002555FE" w:rsidRPr="0096568C">
        <w:rPr>
          <w:sz w:val="26"/>
          <w:szCs w:val="26"/>
        </w:rPr>
        <w:t>20</w:t>
      </w:r>
      <w:r w:rsidR="00BB004F" w:rsidRPr="0096568C">
        <w:rPr>
          <w:sz w:val="26"/>
          <w:szCs w:val="26"/>
        </w:rPr>
        <w:t>/</w:t>
      </w:r>
      <w:r w:rsidRPr="0096568C">
        <w:rPr>
          <w:sz w:val="26"/>
          <w:szCs w:val="26"/>
        </w:rPr>
        <w:t>10</w:t>
      </w:r>
      <w:r w:rsidR="00BB004F" w:rsidRPr="0096568C">
        <w:rPr>
          <w:sz w:val="26"/>
          <w:szCs w:val="26"/>
        </w:rPr>
        <w:t>/</w:t>
      </w:r>
      <w:r w:rsidR="00F229D8" w:rsidRPr="0096568C">
        <w:rPr>
          <w:sz w:val="26"/>
          <w:szCs w:val="26"/>
        </w:rPr>
        <w:t>201</w:t>
      </w:r>
      <w:r w:rsidR="00CC5472" w:rsidRPr="0096568C">
        <w:rPr>
          <w:sz w:val="26"/>
          <w:szCs w:val="26"/>
        </w:rPr>
        <w:t>8</w:t>
      </w:r>
    </w:p>
    <w:p w:rsidR="005B1E73" w:rsidRDefault="00BD5993" w:rsidP="005B1E73">
      <w:pPr>
        <w:ind w:left="4111"/>
        <w:jc w:val="center"/>
        <w:rPr>
          <w:sz w:val="26"/>
          <w:szCs w:val="26"/>
        </w:rPr>
      </w:pPr>
      <w:r>
        <w:rPr>
          <w:sz w:val="26"/>
          <w:szCs w:val="26"/>
        </w:rPr>
        <w:t>NOME</w:t>
      </w:r>
      <w:r w:rsidR="00C13A89">
        <w:rPr>
          <w:sz w:val="26"/>
          <w:szCs w:val="26"/>
        </w:rPr>
        <w:t>:</w:t>
      </w:r>
      <w:r w:rsidR="005B1E73" w:rsidRPr="005B1E73">
        <w:rPr>
          <w:rFonts w:ascii="Arial" w:hAnsi="Arial" w:cs="Arial"/>
          <w:b/>
          <w:sz w:val="24"/>
          <w:szCs w:val="24"/>
        </w:rPr>
        <w:t xml:space="preserve"> </w:t>
      </w:r>
      <w:r w:rsidR="005B1E73" w:rsidRPr="00CB0EEA">
        <w:rPr>
          <w:rFonts w:ascii="Arial" w:hAnsi="Arial" w:cs="Arial"/>
          <w:b/>
          <w:sz w:val="24"/>
          <w:szCs w:val="24"/>
        </w:rPr>
        <w:t>Sindicato da Indústria do Açúcar e do Álcool do Estado de Pernambuco – SINDAÇÚCAR/PE</w:t>
      </w:r>
    </w:p>
    <w:p w:rsidR="00100689" w:rsidRDefault="00100689" w:rsidP="00CF534B">
      <w:pPr>
        <w:ind w:left="4111"/>
        <w:jc w:val="center"/>
        <w:rPr>
          <w:sz w:val="26"/>
          <w:szCs w:val="26"/>
        </w:rPr>
      </w:pPr>
    </w:p>
    <w:p w:rsidR="00100689" w:rsidRDefault="00100689" w:rsidP="00CF534B">
      <w:pPr>
        <w:ind w:left="4111"/>
        <w:jc w:val="center"/>
        <w:rPr>
          <w:sz w:val="26"/>
          <w:szCs w:val="26"/>
        </w:rPr>
      </w:pPr>
    </w:p>
    <w:tbl>
      <w:tblPr>
        <w:tblW w:w="14317" w:type="dxa"/>
        <w:tblInd w:w="-122" w:type="dxa"/>
        <w:tblCellMar>
          <w:left w:w="0" w:type="dxa"/>
          <w:right w:w="0" w:type="dxa"/>
        </w:tblCellMar>
        <w:tblLook w:val="0000" w:firstRow="0" w:lastRow="0" w:firstColumn="0" w:lastColumn="0" w:noHBand="0" w:noVBand="0"/>
      </w:tblPr>
      <w:tblGrid>
        <w:gridCol w:w="1702"/>
        <w:gridCol w:w="5456"/>
        <w:gridCol w:w="1489"/>
        <w:gridCol w:w="5670"/>
      </w:tblGrid>
      <w:tr w:rsidR="00BD5993" w:rsidTr="00CF534B">
        <w:trPr>
          <w:trHeight w:val="375"/>
        </w:trPr>
        <w:tc>
          <w:tcPr>
            <w:tcW w:w="7158" w:type="dxa"/>
            <w:gridSpan w:val="2"/>
            <w:tcBorders>
              <w:top w:val="single" w:sz="4" w:space="0" w:color="auto"/>
              <w:left w:val="single" w:sz="4" w:space="0" w:color="auto"/>
              <w:bottom w:val="single" w:sz="4" w:space="0" w:color="auto"/>
            </w:tcBorders>
            <w:shd w:val="clear" w:color="auto" w:fill="FFFFFF"/>
            <w:tcMar>
              <w:top w:w="20" w:type="dxa"/>
              <w:left w:w="20" w:type="dxa"/>
              <w:bottom w:w="0" w:type="dxa"/>
              <w:right w:w="20" w:type="dxa"/>
            </w:tcMar>
            <w:vAlign w:val="center"/>
          </w:tcPr>
          <w:p w:rsidR="00BD5993" w:rsidRPr="00BD5993" w:rsidRDefault="00BD5993" w:rsidP="00BD5993">
            <w:pPr>
              <w:pStyle w:val="Legenda"/>
              <w:jc w:val="both"/>
              <w:rPr>
                <w:rFonts w:cs="Arial"/>
                <w:color w:val="000000"/>
                <w:szCs w:val="24"/>
              </w:rPr>
            </w:pPr>
            <w:r>
              <w:rPr>
                <w:rFonts w:cs="Arial"/>
                <w:color w:val="000000"/>
                <w:szCs w:val="24"/>
              </w:rPr>
              <w:t xml:space="preserve">  </w:t>
            </w:r>
            <w:proofErr w:type="gramStart"/>
            <w:r w:rsidRPr="00BD5993">
              <w:rPr>
                <w:rFonts w:cs="Arial"/>
                <w:color w:val="000000"/>
                <w:szCs w:val="24"/>
              </w:rPr>
              <w:t>(  )</w:t>
            </w:r>
            <w:proofErr w:type="gramEnd"/>
            <w:r w:rsidRPr="00BD5993">
              <w:rPr>
                <w:rFonts w:cs="Arial"/>
                <w:color w:val="000000"/>
                <w:szCs w:val="24"/>
              </w:rPr>
              <w:t xml:space="preserve"> agente econômico </w:t>
            </w:r>
          </w:p>
          <w:p w:rsidR="00BD5993" w:rsidRPr="00BD5993" w:rsidRDefault="00BD5993" w:rsidP="00CF534B">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w:t>
            </w:r>
            <w:proofErr w:type="gramEnd"/>
            <w:r w:rsidRPr="00BD5993">
              <w:rPr>
                <w:rFonts w:ascii="Arial" w:hAnsi="Arial" w:cs="Arial"/>
                <w:color w:val="000000"/>
                <w:sz w:val="24"/>
                <w:szCs w:val="24"/>
              </w:rPr>
              <w:t xml:space="preserve"> consumidor ou usuário</w:t>
            </w:r>
          </w:p>
        </w:tc>
        <w:tc>
          <w:tcPr>
            <w:tcW w:w="7159" w:type="dxa"/>
            <w:gridSpan w:val="2"/>
            <w:tcBorders>
              <w:top w:val="single" w:sz="4" w:space="0" w:color="auto"/>
              <w:bottom w:val="single" w:sz="4" w:space="0" w:color="auto"/>
              <w:right w:val="single" w:sz="4" w:space="0" w:color="auto"/>
            </w:tcBorders>
            <w:shd w:val="clear" w:color="auto" w:fill="FFFFFF"/>
            <w:vAlign w:val="center"/>
          </w:tcPr>
          <w:p w:rsidR="00BD5993" w:rsidRPr="00BD5993" w:rsidRDefault="00BD5993" w:rsidP="00BD5993">
            <w:pPr>
              <w:pStyle w:val="Legenda"/>
              <w:ind w:left="23"/>
              <w:jc w:val="both"/>
              <w:rPr>
                <w:rFonts w:cs="Arial"/>
                <w:color w:val="000000"/>
                <w:szCs w:val="24"/>
              </w:rPr>
            </w:pPr>
            <w:r>
              <w:rPr>
                <w:rFonts w:cs="Arial"/>
                <w:color w:val="000000"/>
                <w:szCs w:val="24"/>
              </w:rPr>
              <w:t xml:space="preserve">  </w:t>
            </w:r>
            <w:r w:rsidRPr="00BD5993">
              <w:rPr>
                <w:rFonts w:cs="Arial"/>
                <w:color w:val="000000"/>
                <w:szCs w:val="24"/>
              </w:rPr>
              <w:t>(</w:t>
            </w:r>
            <w:r w:rsidR="005B1E73">
              <w:rPr>
                <w:rFonts w:cs="Arial"/>
                <w:color w:val="000000"/>
                <w:szCs w:val="24"/>
              </w:rPr>
              <w:t>X</w:t>
            </w:r>
            <w:r w:rsidRPr="00BD5993">
              <w:rPr>
                <w:rFonts w:cs="Arial"/>
                <w:color w:val="000000"/>
                <w:szCs w:val="24"/>
              </w:rPr>
              <w:t>) representante órgão de classe ou associação</w:t>
            </w:r>
          </w:p>
          <w:p w:rsidR="00BD5993" w:rsidRPr="00BD5993" w:rsidRDefault="00BD5993" w:rsidP="00BD5993">
            <w:pPr>
              <w:pStyle w:val="Legenda"/>
              <w:ind w:left="23"/>
              <w:jc w:val="both"/>
              <w:rPr>
                <w:rFonts w:cs="Arial"/>
                <w:color w:val="000000"/>
                <w:szCs w:val="24"/>
              </w:rPr>
            </w:pPr>
            <w:r>
              <w:rPr>
                <w:rFonts w:cs="Arial"/>
                <w:color w:val="000000"/>
                <w:szCs w:val="24"/>
              </w:rPr>
              <w:t xml:space="preserve">  </w:t>
            </w:r>
            <w:proofErr w:type="gramStart"/>
            <w:r w:rsidRPr="00BD5993">
              <w:rPr>
                <w:rFonts w:cs="Arial"/>
                <w:color w:val="000000"/>
                <w:szCs w:val="24"/>
              </w:rPr>
              <w:t>(  )</w:t>
            </w:r>
            <w:proofErr w:type="gramEnd"/>
            <w:r w:rsidRPr="00BD5993">
              <w:rPr>
                <w:rFonts w:cs="Arial"/>
                <w:color w:val="000000"/>
                <w:szCs w:val="24"/>
              </w:rPr>
              <w:t xml:space="preserve"> representante de instituição governamental</w:t>
            </w:r>
          </w:p>
          <w:p w:rsidR="00BD5993" w:rsidRPr="00BD5993" w:rsidRDefault="00BD5993" w:rsidP="00100689">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w:t>
            </w:r>
            <w:proofErr w:type="gramEnd"/>
            <w:r w:rsidRPr="00BD5993">
              <w:rPr>
                <w:rFonts w:ascii="Arial" w:hAnsi="Arial" w:cs="Arial"/>
                <w:color w:val="000000"/>
                <w:sz w:val="24"/>
                <w:szCs w:val="24"/>
              </w:rPr>
              <w:t xml:space="preserve"> representante de órgãos de defesa do consumido</w:t>
            </w:r>
            <w:r>
              <w:rPr>
                <w:rFonts w:ascii="Arial" w:hAnsi="Arial" w:cs="Arial"/>
                <w:color w:val="000000"/>
                <w:sz w:val="24"/>
                <w:szCs w:val="24"/>
              </w:rPr>
              <w:t>r</w:t>
            </w:r>
          </w:p>
        </w:tc>
      </w:tr>
      <w:tr w:rsidR="004602FD" w:rsidTr="00335A11">
        <w:trPr>
          <w:trHeight w:val="716"/>
        </w:trPr>
        <w:tc>
          <w:tcPr>
            <w:tcW w:w="14317" w:type="dxa"/>
            <w:gridSpan w:val="4"/>
            <w:tcBorders>
              <w:top w:val="single" w:sz="4" w:space="0" w:color="auto"/>
              <w:left w:val="single" w:sz="4" w:space="0" w:color="auto"/>
              <w:bottom w:val="single" w:sz="4" w:space="0" w:color="auto"/>
              <w:right w:val="single" w:sz="4" w:space="0" w:color="auto"/>
            </w:tcBorders>
            <w:shd w:val="clear" w:color="auto" w:fill="70B56B"/>
            <w:tcMar>
              <w:top w:w="20" w:type="dxa"/>
              <w:left w:w="20" w:type="dxa"/>
              <w:bottom w:w="0" w:type="dxa"/>
              <w:right w:w="20" w:type="dxa"/>
            </w:tcMar>
            <w:vAlign w:val="center"/>
          </w:tcPr>
          <w:p w:rsidR="00BB004F" w:rsidRPr="00BD5993" w:rsidRDefault="00153BBA" w:rsidP="00A267DE">
            <w:pPr>
              <w:autoSpaceDE w:val="0"/>
              <w:autoSpaceDN w:val="0"/>
              <w:adjustRightInd w:val="0"/>
              <w:spacing w:line="300" w:lineRule="exact"/>
              <w:jc w:val="both"/>
              <w:rPr>
                <w:rFonts w:ascii="Arial" w:hAnsi="Arial" w:cs="Arial"/>
                <w:bCs/>
                <w:sz w:val="28"/>
                <w:szCs w:val="28"/>
              </w:rPr>
            </w:pPr>
            <w:r>
              <w:rPr>
                <w:rFonts w:ascii="Arial" w:hAnsi="Arial" w:cs="Arial"/>
                <w:bCs/>
                <w:sz w:val="28"/>
                <w:szCs w:val="28"/>
              </w:rPr>
              <w:t xml:space="preserve">Tomada Pública de Contribuições sobre a </w:t>
            </w:r>
            <w:r w:rsidR="00A267DE">
              <w:rPr>
                <w:rFonts w:ascii="Arial" w:hAnsi="Arial" w:cs="Arial"/>
                <w:bCs/>
                <w:sz w:val="28"/>
                <w:szCs w:val="28"/>
              </w:rPr>
              <w:t>verticalização da cadeia de distribuição de combustíveis</w:t>
            </w:r>
            <w:r w:rsidR="00CC5472" w:rsidRPr="00CC5472">
              <w:rPr>
                <w:rFonts w:ascii="Arial" w:hAnsi="Arial" w:cs="Arial"/>
                <w:bCs/>
                <w:sz w:val="28"/>
                <w:szCs w:val="28"/>
              </w:rPr>
              <w:t>.</w:t>
            </w:r>
          </w:p>
        </w:tc>
      </w:tr>
      <w:tr w:rsidR="00C13A89" w:rsidTr="00C13A89">
        <w:trPr>
          <w:trHeight w:val="330"/>
        </w:trPr>
        <w:tc>
          <w:tcPr>
            <w:tcW w:w="1702" w:type="dxa"/>
            <w:tcBorders>
              <w:top w:val="single" w:sz="4" w:space="0" w:color="auto"/>
              <w:left w:val="single" w:sz="4" w:space="0" w:color="auto"/>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96874" w:rsidP="00ED7714">
            <w:pPr>
              <w:jc w:val="center"/>
              <w:rPr>
                <w:rFonts w:ascii="Arial" w:eastAsia="Arial Unicode MS" w:hAnsi="Arial" w:cs="Arial"/>
                <w:bCs/>
                <w:sz w:val="24"/>
                <w:szCs w:val="24"/>
              </w:rPr>
            </w:pPr>
            <w:r>
              <w:rPr>
                <w:rFonts w:ascii="Arial" w:hAnsi="Arial" w:cs="Arial"/>
                <w:bCs/>
              </w:rPr>
              <w:t>ASSUNTO</w:t>
            </w:r>
          </w:p>
        </w:tc>
        <w:tc>
          <w:tcPr>
            <w:tcW w:w="6945" w:type="dxa"/>
            <w:gridSpan w:val="2"/>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C96874">
            <w:pPr>
              <w:jc w:val="center"/>
              <w:rPr>
                <w:rFonts w:ascii="Arial" w:eastAsia="Arial Unicode MS" w:hAnsi="Arial" w:cs="Arial"/>
                <w:bCs/>
                <w:sz w:val="24"/>
                <w:szCs w:val="24"/>
              </w:rPr>
            </w:pPr>
            <w:r w:rsidRPr="00BB004F">
              <w:rPr>
                <w:rFonts w:ascii="Arial" w:hAnsi="Arial" w:cs="Arial"/>
                <w:bCs/>
              </w:rPr>
              <w:t>PROPOSTA</w:t>
            </w:r>
          </w:p>
        </w:tc>
        <w:tc>
          <w:tcPr>
            <w:tcW w:w="5670" w:type="dxa"/>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ED7714">
            <w:pPr>
              <w:jc w:val="center"/>
              <w:rPr>
                <w:rFonts w:ascii="Arial" w:eastAsia="Arial Unicode MS" w:hAnsi="Arial" w:cs="Arial"/>
                <w:bCs/>
                <w:sz w:val="24"/>
                <w:szCs w:val="24"/>
              </w:rPr>
            </w:pPr>
            <w:r w:rsidRPr="00BB004F">
              <w:rPr>
                <w:rFonts w:ascii="Arial" w:hAnsi="Arial" w:cs="Arial"/>
                <w:bCs/>
              </w:rPr>
              <w:t>JUSTIFICATIVA</w:t>
            </w:r>
          </w:p>
        </w:tc>
      </w:tr>
      <w:tr w:rsidR="005B1E73" w:rsidTr="002316B2">
        <w:trPr>
          <w:trHeight w:val="568"/>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5B1E73" w:rsidRDefault="005B1E73" w:rsidP="000303C4">
            <w:pPr>
              <w:rPr>
                <w:rFonts w:ascii="Arial" w:eastAsia="Arial Unicode MS" w:hAnsi="Arial" w:cs="Arial"/>
                <w:b/>
                <w:bCs/>
                <w:color w:val="000000"/>
                <w:sz w:val="24"/>
                <w:szCs w:val="24"/>
              </w:rPr>
            </w:pPr>
            <w:r>
              <w:rPr>
                <w:rFonts w:ascii="Arial" w:hAnsi="Arial" w:cs="Arial"/>
                <w:b/>
                <w:bCs/>
                <w:color w:val="000000"/>
              </w:rPr>
              <w:t> </w:t>
            </w:r>
          </w:p>
          <w:p w:rsidR="005B1E73" w:rsidRDefault="005B1E73" w:rsidP="005B1E73">
            <w:pPr>
              <w:jc w:val="both"/>
              <w:rPr>
                <w:rFonts w:ascii="Arial" w:eastAsia="Arial Unicode MS" w:hAnsi="Arial" w:cs="Arial"/>
                <w:b/>
                <w:bCs/>
                <w:sz w:val="24"/>
                <w:szCs w:val="24"/>
              </w:rPr>
            </w:pPr>
            <w:r>
              <w:rPr>
                <w:rFonts w:ascii="Arial" w:hAnsi="Arial" w:cs="Arial"/>
                <w:b/>
                <w:bCs/>
              </w:rPr>
              <w:t>Verticalização direta e indireta</w:t>
            </w:r>
          </w:p>
        </w:tc>
        <w:tc>
          <w:tcPr>
            <w:tcW w:w="12615"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5B1E73" w:rsidRDefault="005B1E73" w:rsidP="005B1E73">
            <w:pPr>
              <w:jc w:val="both"/>
              <w:rPr>
                <w:rFonts w:ascii="Arial" w:hAnsi="Arial" w:cs="Arial"/>
              </w:rPr>
            </w:pPr>
            <w:r>
              <w:rPr>
                <w:rFonts w:ascii="Arial" w:hAnsi="Arial" w:cs="Arial"/>
              </w:rPr>
              <w:t> </w:t>
            </w:r>
            <w:r w:rsidRPr="00D61FE2">
              <w:rPr>
                <w:rFonts w:ascii="Arial" w:hAnsi="Arial" w:cs="Arial"/>
              </w:rPr>
              <w:t xml:space="preserve">O </w:t>
            </w:r>
            <w:proofErr w:type="spellStart"/>
            <w:r w:rsidRPr="00D61FE2">
              <w:rPr>
                <w:rFonts w:ascii="Arial" w:hAnsi="Arial" w:cs="Arial"/>
              </w:rPr>
              <w:t>Sindaçúcar</w:t>
            </w:r>
            <w:proofErr w:type="spellEnd"/>
            <w:r w:rsidRPr="00D61FE2">
              <w:rPr>
                <w:rFonts w:ascii="Arial" w:hAnsi="Arial" w:cs="Arial"/>
              </w:rPr>
              <w:t>/PE acredita que as normas regu</w:t>
            </w:r>
            <w:r>
              <w:rPr>
                <w:rFonts w:ascii="Arial" w:hAnsi="Arial" w:cs="Arial"/>
              </w:rPr>
              <w:t>latórias adotadas pela ANP devam, além de protegerem e defenderem os interesses dos consumidores, ainda devem garantir aos agentes de mercado condições amplas para o exercício de seus direitos à livre iniciativa e à livre concorrência.</w:t>
            </w:r>
          </w:p>
          <w:p w:rsidR="005B1E73" w:rsidRDefault="005B1E73" w:rsidP="005B1E73">
            <w:pPr>
              <w:jc w:val="both"/>
              <w:rPr>
                <w:rFonts w:ascii="Arial" w:hAnsi="Arial" w:cs="Arial"/>
              </w:rPr>
            </w:pPr>
          </w:p>
          <w:p w:rsidR="005B1E73" w:rsidRDefault="005B1E73" w:rsidP="005B1E73">
            <w:pPr>
              <w:jc w:val="both"/>
              <w:rPr>
                <w:rFonts w:ascii="Arial" w:hAnsi="Arial" w:cs="Arial"/>
              </w:rPr>
            </w:pPr>
            <w:r>
              <w:rPr>
                <w:rFonts w:ascii="Arial" w:hAnsi="Arial" w:cs="Arial"/>
              </w:rPr>
              <w:t xml:space="preserve">Assim como o </w:t>
            </w:r>
            <w:proofErr w:type="spellStart"/>
            <w:r>
              <w:rPr>
                <w:rFonts w:ascii="Arial" w:hAnsi="Arial" w:cs="Arial"/>
              </w:rPr>
              <w:t>Sindaçúcar</w:t>
            </w:r>
            <w:proofErr w:type="spellEnd"/>
            <w:r>
              <w:rPr>
                <w:rFonts w:ascii="Arial" w:hAnsi="Arial" w:cs="Arial"/>
              </w:rPr>
              <w:t xml:space="preserve">/PE considera que a vedação à venda direta limita o exercício amplo dos direitos à livre iniciativa e à livre concorrência dos produtores de etanol, as normas que vedam a verticalização (i.e., que produtores e distribuidoras controlem </w:t>
            </w:r>
            <w:proofErr w:type="spellStart"/>
            <w:r>
              <w:rPr>
                <w:rFonts w:ascii="Arial" w:hAnsi="Arial" w:cs="Arial"/>
              </w:rPr>
              <w:t>societariamente</w:t>
            </w:r>
            <w:proofErr w:type="spellEnd"/>
            <w:r>
              <w:rPr>
                <w:rFonts w:ascii="Arial" w:hAnsi="Arial" w:cs="Arial"/>
              </w:rPr>
              <w:t xml:space="preserve"> postos revendedores) também gera</w:t>
            </w:r>
            <w:r>
              <w:rPr>
                <w:rFonts w:ascii="Arial" w:hAnsi="Arial" w:cs="Arial"/>
              </w:rPr>
              <w:t xml:space="preserve">m </w:t>
            </w:r>
            <w:r>
              <w:rPr>
                <w:rFonts w:ascii="Arial" w:hAnsi="Arial" w:cs="Arial"/>
              </w:rPr>
              <w:t xml:space="preserve">este mesmo efeito limitador. </w:t>
            </w:r>
          </w:p>
          <w:p w:rsidR="005B1E73" w:rsidRDefault="005B1E73" w:rsidP="005B1E73">
            <w:pPr>
              <w:jc w:val="both"/>
              <w:rPr>
                <w:rFonts w:ascii="Arial" w:hAnsi="Arial" w:cs="Arial"/>
              </w:rPr>
            </w:pPr>
          </w:p>
          <w:p w:rsidR="005B1E73" w:rsidRDefault="005B1E73" w:rsidP="005B1E73">
            <w:pPr>
              <w:jc w:val="both"/>
              <w:rPr>
                <w:rFonts w:ascii="Arial" w:hAnsi="Arial" w:cs="Arial"/>
              </w:rPr>
            </w:pPr>
            <w:r>
              <w:rPr>
                <w:rFonts w:ascii="Arial" w:hAnsi="Arial" w:cs="Arial"/>
              </w:rPr>
              <w:t>Observa-se, contudo, que, diferentemente do que ocorre no mercado de produção de etanol, em que nenhum dos agentes ali instalados detém o controle de parcela considerável da oferta de etanol, no caso da distribuição, os dados públicos divulgados por esta i. ANP demonstram que as três principais distribuidoras instaladas no país detêm, conjuntamente, o controle de mais de 60% do volume total de combustíveis ofertados no país, a partir de postos revendedores que encontram-se, contratualmente, vinculados às suas respectivas bandeiras.</w:t>
            </w:r>
          </w:p>
          <w:p w:rsidR="005B1E73" w:rsidRDefault="005B1E73" w:rsidP="005B1E73">
            <w:pPr>
              <w:jc w:val="both"/>
              <w:rPr>
                <w:rFonts w:ascii="Arial" w:hAnsi="Arial" w:cs="Arial"/>
              </w:rPr>
            </w:pPr>
          </w:p>
          <w:p w:rsidR="005B1E73" w:rsidRDefault="005B1E73" w:rsidP="005B1E73">
            <w:pPr>
              <w:jc w:val="both"/>
              <w:rPr>
                <w:rFonts w:ascii="Arial" w:hAnsi="Arial" w:cs="Arial"/>
              </w:rPr>
            </w:pPr>
            <w:r>
              <w:rPr>
                <w:rFonts w:ascii="Arial" w:hAnsi="Arial" w:cs="Arial"/>
              </w:rPr>
              <w:t>Desta forma e levando em consideração as preocupações levantadas pelo CADE</w:t>
            </w:r>
            <w:r>
              <w:rPr>
                <w:rStyle w:val="Refdenotaderodap"/>
                <w:rFonts w:ascii="Arial" w:hAnsi="Arial" w:cs="Arial"/>
              </w:rPr>
              <w:footnoteReference w:id="1"/>
            </w:r>
            <w:r>
              <w:rPr>
                <w:rFonts w:ascii="Arial" w:hAnsi="Arial" w:cs="Arial"/>
              </w:rPr>
              <w:t xml:space="preserve"> sobre os efeitos anticompetitivos do poder de mercado detido pelas três distribuidoras dominantes nos segmentos de distribuição e revenda de combustíveis, consideramos que seria pertinente a avaliação pormenorizada desta i. ANP sobre o impacto que uma eventual liberação do controle societário de postos revendedoras pelas distribuidoras poderá trazer à oferta e demanda no segmento de revenda. </w:t>
            </w:r>
          </w:p>
          <w:p w:rsidR="005B1E73" w:rsidRDefault="005B1E73" w:rsidP="005B1E73">
            <w:pPr>
              <w:jc w:val="both"/>
              <w:rPr>
                <w:rFonts w:ascii="Arial" w:hAnsi="Arial" w:cs="Arial"/>
              </w:rPr>
            </w:pPr>
          </w:p>
          <w:p w:rsidR="005B1E73" w:rsidRDefault="005B1E73" w:rsidP="005B1E73">
            <w:pPr>
              <w:jc w:val="both"/>
              <w:rPr>
                <w:rFonts w:ascii="Arial" w:hAnsi="Arial" w:cs="Arial"/>
              </w:rPr>
            </w:pPr>
            <w:r>
              <w:rPr>
                <w:rFonts w:ascii="Arial" w:hAnsi="Arial" w:cs="Arial"/>
              </w:rPr>
              <w:t xml:space="preserve">Afinal, segundo o entendimento consolidado do CADE, a atual verticalização </w:t>
            </w:r>
            <w:r>
              <w:rPr>
                <w:rFonts w:ascii="Arial" w:hAnsi="Arial" w:cs="Arial"/>
                <w:i/>
              </w:rPr>
              <w:t>de facto</w:t>
            </w:r>
            <w:r>
              <w:rPr>
                <w:rFonts w:ascii="Arial" w:hAnsi="Arial" w:cs="Arial"/>
              </w:rPr>
              <w:t xml:space="preserve">, existente no mercado brasileiro e caracterizada pelos </w:t>
            </w:r>
            <w:r>
              <w:rPr>
                <w:rFonts w:ascii="Arial" w:hAnsi="Arial" w:cs="Arial"/>
              </w:rPr>
              <w:lastRenderedPageBreak/>
              <w:t>contratos de exclusividade celebrados entre as distribuidoras “dominantes” e seus revendedores bandeirados, já acarreta, em vários municípios brasileiros, um elevadíssimo índice de fechamento de mercado a outros ofertantes (distribuidoras e produtores) de combustíveis líquidos, além de problemas de discriminação de preços, práticas oportunistas e, ainda, colusões para uniformização de preços de revenda que caracterizariam a prática de cartel.</w:t>
            </w:r>
          </w:p>
          <w:p w:rsidR="005B1E73" w:rsidRDefault="005B1E73" w:rsidP="005B1E73">
            <w:pPr>
              <w:jc w:val="both"/>
              <w:rPr>
                <w:rFonts w:ascii="Arial" w:hAnsi="Arial" w:cs="Arial"/>
              </w:rPr>
            </w:pPr>
          </w:p>
          <w:p w:rsidR="005B1E73" w:rsidRDefault="005B1E73" w:rsidP="005B1E73">
            <w:pPr>
              <w:jc w:val="both"/>
              <w:rPr>
                <w:rFonts w:ascii="Arial" w:hAnsi="Arial" w:cs="Arial"/>
              </w:rPr>
            </w:pPr>
            <w:r>
              <w:rPr>
                <w:rFonts w:ascii="Arial" w:hAnsi="Arial" w:cs="Arial"/>
              </w:rPr>
              <w:t>Nesse sentido, a liberação da propriedade societária de postos revendedores às distribuidoras “dominantes” poderá elevar essas</w:t>
            </w:r>
            <w:r>
              <w:rPr>
                <w:rFonts w:ascii="Arial" w:hAnsi="Arial" w:cs="Arial"/>
              </w:rPr>
              <w:t xml:space="preserve"> preocupações, assim como</w:t>
            </w:r>
            <w:r>
              <w:rPr>
                <w:rFonts w:ascii="Arial" w:hAnsi="Arial" w:cs="Arial"/>
              </w:rPr>
              <w:t xml:space="preserve"> </w:t>
            </w:r>
            <w:r>
              <w:rPr>
                <w:rFonts w:ascii="Arial" w:hAnsi="Arial" w:cs="Arial"/>
              </w:rPr>
              <w:t xml:space="preserve">os </w:t>
            </w:r>
            <w:r>
              <w:rPr>
                <w:rFonts w:ascii="Arial" w:hAnsi="Arial" w:cs="Arial"/>
              </w:rPr>
              <w:t>efeitos anticompetitivos destacados pelo CADE, de forma que deve ser muito bem avaliada por esta i. ANP; e, em caso de ser implementada, deve trazer, no mínimo, uma restrição quanto ao número de postos que podem ser de propriedade e</w:t>
            </w:r>
            <w:r>
              <w:rPr>
                <w:rFonts w:ascii="Arial" w:hAnsi="Arial" w:cs="Arial"/>
              </w:rPr>
              <w:t>/ou</w:t>
            </w:r>
            <w:r>
              <w:rPr>
                <w:rFonts w:ascii="Arial" w:hAnsi="Arial" w:cs="Arial"/>
              </w:rPr>
              <w:t xml:space="preserve"> operado por uma distribuidora ou produtor, assim como ocorre em alguns países (</w:t>
            </w:r>
            <w:r w:rsidRPr="000720B6">
              <w:rPr>
                <w:rFonts w:ascii="Arial" w:hAnsi="Arial" w:cs="Arial"/>
                <w:i/>
              </w:rPr>
              <w:t>e.g.</w:t>
            </w:r>
            <w:r>
              <w:rPr>
                <w:rFonts w:ascii="Arial" w:hAnsi="Arial" w:cs="Arial"/>
              </w:rPr>
              <w:t>, Austrália e Turquia)</w:t>
            </w:r>
            <w:r>
              <w:rPr>
                <w:rStyle w:val="Refdenotaderodap"/>
                <w:rFonts w:ascii="Arial" w:hAnsi="Arial" w:cs="Arial"/>
              </w:rPr>
              <w:footnoteReference w:id="2"/>
            </w:r>
            <w:r>
              <w:rPr>
                <w:rFonts w:ascii="Arial" w:hAnsi="Arial" w:cs="Arial"/>
              </w:rPr>
              <w:t xml:space="preserve">. </w:t>
            </w:r>
          </w:p>
          <w:p w:rsidR="005B1E73" w:rsidRDefault="005B1E73" w:rsidP="005B1E73">
            <w:pPr>
              <w:jc w:val="both"/>
              <w:rPr>
                <w:rFonts w:ascii="Arial" w:hAnsi="Arial" w:cs="Arial"/>
              </w:rPr>
            </w:pPr>
          </w:p>
          <w:p w:rsidR="005B1E73" w:rsidRPr="00D61FE2" w:rsidRDefault="005B1E73" w:rsidP="005B1E73">
            <w:pPr>
              <w:jc w:val="both"/>
              <w:rPr>
                <w:rFonts w:ascii="Arial" w:hAnsi="Arial" w:cs="Arial"/>
              </w:rPr>
            </w:pPr>
            <w:r>
              <w:rPr>
                <w:rFonts w:ascii="Arial" w:hAnsi="Arial" w:cs="Arial"/>
              </w:rPr>
              <w:t>Quanto à verticalização indireta, associada, por exemplo, aos contratos de exclusividade atualmente existentes neste setor e a regra de embandeiramento, os nossos comentários, preocupações e sugestões estão contempladas na resposta à TPC nº 04/2018, que são aqui reiterados e ratificados.</w:t>
            </w:r>
          </w:p>
          <w:p w:rsidR="005B1E73" w:rsidRDefault="005B1E73" w:rsidP="000303C4">
            <w:pPr>
              <w:rPr>
                <w:rFonts w:ascii="Arial" w:eastAsia="Arial Unicode MS" w:hAnsi="Arial" w:cs="Arial"/>
                <w:sz w:val="24"/>
                <w:szCs w:val="24"/>
              </w:rPr>
            </w:pPr>
            <w:r>
              <w:rPr>
                <w:rFonts w:ascii="Arial" w:hAnsi="Arial" w:cs="Arial"/>
              </w:rPr>
              <w:t> </w:t>
            </w:r>
          </w:p>
        </w:tc>
      </w:tr>
      <w:tr w:rsidR="00675148" w:rsidTr="002C08EF">
        <w:trPr>
          <w:trHeight w:val="704"/>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675148" w:rsidRPr="00675148" w:rsidRDefault="00675148" w:rsidP="000303C4">
            <w:pPr>
              <w:rPr>
                <w:rFonts w:ascii="Arial" w:eastAsia="Arial Unicode MS" w:hAnsi="Arial" w:cs="Arial"/>
                <w:b/>
              </w:rPr>
            </w:pPr>
            <w:r w:rsidRPr="00675148">
              <w:rPr>
                <w:rFonts w:ascii="Arial" w:eastAsia="Arial Unicode MS" w:hAnsi="Arial" w:cs="Arial"/>
                <w:b/>
              </w:rPr>
              <w:lastRenderedPageBreak/>
              <w:t>Vedação da comercialização direta de produtores e importadores para revendedores.</w:t>
            </w:r>
          </w:p>
        </w:tc>
        <w:tc>
          <w:tcPr>
            <w:tcW w:w="12615"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675148" w:rsidRPr="00675148" w:rsidRDefault="00675148" w:rsidP="00675148">
            <w:pPr>
              <w:jc w:val="both"/>
              <w:rPr>
                <w:rFonts w:ascii="Arial" w:hAnsi="Arial" w:cs="Arial"/>
              </w:rPr>
            </w:pPr>
            <w:r>
              <w:rPr>
                <w:rFonts w:ascii="Arial" w:hAnsi="Arial" w:cs="Arial"/>
              </w:rPr>
              <w:t xml:space="preserve">Somos absolutamente contra esta vedação, pelas razões e fundamentos apresentados na resposta à TPC nº 02/2018, </w:t>
            </w:r>
            <w:r>
              <w:rPr>
                <w:rFonts w:ascii="Arial" w:hAnsi="Arial" w:cs="Arial"/>
              </w:rPr>
              <w:t>que são aqui reiterados e ratificados.</w:t>
            </w:r>
          </w:p>
          <w:p w:rsidR="00675148" w:rsidRDefault="00675148" w:rsidP="000303C4">
            <w:pPr>
              <w:rPr>
                <w:rFonts w:ascii="Arial" w:eastAsia="Arial Unicode MS" w:hAnsi="Arial" w:cs="Arial"/>
                <w:sz w:val="24"/>
                <w:szCs w:val="24"/>
              </w:rPr>
            </w:pPr>
            <w:r>
              <w:rPr>
                <w:rFonts w:ascii="Arial" w:hAnsi="Arial" w:cs="Arial"/>
              </w:rPr>
              <w:t> </w:t>
            </w:r>
          </w:p>
        </w:tc>
      </w:tr>
      <w:tr w:rsidR="00C13A89" w:rsidTr="00C13A89">
        <w:trPr>
          <w:trHeight w:val="670"/>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b/>
                <w:bCs/>
                <w:sz w:val="24"/>
                <w:szCs w:val="24"/>
              </w:rPr>
            </w:pPr>
            <w:r>
              <w:rPr>
                <w:rFonts w:ascii="Arial" w:hAnsi="Arial" w:cs="Arial"/>
                <w:b/>
                <w:bCs/>
              </w:rPr>
              <w:t> </w:t>
            </w:r>
          </w:p>
          <w:p w:rsidR="00C13A89" w:rsidRDefault="00C13A89" w:rsidP="000303C4">
            <w:pPr>
              <w:rPr>
                <w:rFonts w:ascii="Arial" w:eastAsia="Arial Unicode MS" w:hAnsi="Arial" w:cs="Arial"/>
                <w:b/>
                <w:bCs/>
                <w:sz w:val="24"/>
                <w:szCs w:val="24"/>
              </w:rPr>
            </w:pPr>
            <w:r>
              <w:rPr>
                <w:rFonts w:ascii="Arial" w:hAnsi="Arial" w:cs="Arial"/>
                <w:b/>
                <w:bCs/>
              </w:rPr>
              <w:t> </w:t>
            </w:r>
            <w:bookmarkStart w:id="0" w:name="_GoBack"/>
            <w:bookmarkEnd w:id="0"/>
          </w:p>
        </w:tc>
        <w:tc>
          <w:tcPr>
            <w:tcW w:w="6945"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c>
          <w:tcPr>
            <w:tcW w:w="5670"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13A89" w:rsidTr="00C13A89">
        <w:trPr>
          <w:trHeight w:val="667"/>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b/>
                <w:bCs/>
                <w:sz w:val="24"/>
                <w:szCs w:val="24"/>
              </w:rPr>
            </w:pPr>
            <w:r>
              <w:rPr>
                <w:rFonts w:ascii="Arial" w:hAnsi="Arial" w:cs="Arial"/>
                <w:b/>
                <w:bCs/>
              </w:rPr>
              <w:t> </w:t>
            </w:r>
          </w:p>
          <w:p w:rsidR="00C13A89" w:rsidRDefault="00C13A89" w:rsidP="000303C4">
            <w:pPr>
              <w:rPr>
                <w:rFonts w:ascii="Arial" w:eastAsia="Arial Unicode MS" w:hAnsi="Arial" w:cs="Arial"/>
                <w:b/>
                <w:bCs/>
                <w:color w:val="000000"/>
                <w:sz w:val="24"/>
                <w:szCs w:val="24"/>
              </w:rPr>
            </w:pPr>
            <w:r>
              <w:rPr>
                <w:rFonts w:ascii="Arial" w:hAnsi="Arial" w:cs="Arial"/>
                <w:b/>
                <w:bCs/>
                <w:color w:val="000000"/>
              </w:rPr>
              <w:t> </w:t>
            </w:r>
          </w:p>
        </w:tc>
        <w:tc>
          <w:tcPr>
            <w:tcW w:w="6945"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color w:val="000000"/>
                <w:sz w:val="24"/>
                <w:szCs w:val="24"/>
              </w:rPr>
            </w:pPr>
            <w:r>
              <w:rPr>
                <w:rFonts w:ascii="Arial" w:hAnsi="Arial" w:cs="Arial"/>
                <w:color w:val="000000"/>
              </w:rPr>
              <w:t> </w:t>
            </w:r>
          </w:p>
        </w:tc>
        <w:tc>
          <w:tcPr>
            <w:tcW w:w="5670"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13A89" w:rsidTr="00C13A89">
        <w:trPr>
          <w:trHeight w:val="636"/>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b/>
                <w:bCs/>
                <w:sz w:val="24"/>
                <w:szCs w:val="24"/>
              </w:rPr>
            </w:pPr>
            <w:r>
              <w:rPr>
                <w:rFonts w:ascii="Arial" w:hAnsi="Arial" w:cs="Arial"/>
                <w:b/>
                <w:bCs/>
              </w:rPr>
              <w:t> </w:t>
            </w:r>
          </w:p>
          <w:p w:rsidR="00C13A89" w:rsidRDefault="00C13A89" w:rsidP="000303C4">
            <w:pPr>
              <w:rPr>
                <w:rFonts w:ascii="Arial" w:eastAsia="Arial Unicode MS" w:hAnsi="Arial" w:cs="Arial"/>
                <w:b/>
                <w:bCs/>
                <w:sz w:val="24"/>
                <w:szCs w:val="24"/>
              </w:rPr>
            </w:pPr>
            <w:r>
              <w:rPr>
                <w:rFonts w:ascii="Arial" w:hAnsi="Arial" w:cs="Arial"/>
                <w:b/>
                <w:bCs/>
              </w:rPr>
              <w:t> </w:t>
            </w:r>
          </w:p>
        </w:tc>
        <w:tc>
          <w:tcPr>
            <w:tcW w:w="6945"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c>
          <w:tcPr>
            <w:tcW w:w="5670"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13A89" w:rsidTr="00C13A89">
        <w:trPr>
          <w:trHeight w:val="607"/>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rPr>
            </w:pPr>
            <w:r>
              <w:rPr>
                <w:rFonts w:ascii="Arial" w:hAnsi="Arial" w:cs="Arial"/>
              </w:rPr>
              <w:t> </w:t>
            </w:r>
          </w:p>
          <w:p w:rsidR="00C13A89" w:rsidRDefault="00C13A89" w:rsidP="000303C4">
            <w:pPr>
              <w:rPr>
                <w:rFonts w:ascii="Arial" w:eastAsia="Arial Unicode MS" w:hAnsi="Arial" w:cs="Arial"/>
                <w:b/>
                <w:bCs/>
              </w:rPr>
            </w:pPr>
            <w:r>
              <w:rPr>
                <w:rFonts w:ascii="Arial" w:hAnsi="Arial" w:cs="Arial"/>
                <w:b/>
                <w:bCs/>
              </w:rPr>
              <w:t> </w:t>
            </w:r>
          </w:p>
        </w:tc>
        <w:tc>
          <w:tcPr>
            <w:tcW w:w="6945"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rPr>
            </w:pPr>
            <w:r>
              <w:rPr>
                <w:rFonts w:ascii="Arial" w:hAnsi="Arial" w:cs="Arial"/>
              </w:rPr>
              <w:t> </w:t>
            </w:r>
          </w:p>
        </w:tc>
        <w:tc>
          <w:tcPr>
            <w:tcW w:w="5670"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13A89" w:rsidTr="00C13A89">
        <w:trPr>
          <w:trHeight w:val="607"/>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C13A89" w:rsidRDefault="00C13A89" w:rsidP="000F43D7">
            <w:pPr>
              <w:rPr>
                <w:rFonts w:ascii="Arial" w:hAnsi="Arial" w:cs="Arial"/>
              </w:rPr>
            </w:pPr>
            <w:r>
              <w:rPr>
                <w:rFonts w:ascii="Arial" w:hAnsi="Arial" w:cs="Arial"/>
              </w:rPr>
              <w:t> </w:t>
            </w:r>
          </w:p>
          <w:p w:rsidR="00C13A89" w:rsidRPr="00C13A89" w:rsidRDefault="00C13A89" w:rsidP="000F43D7">
            <w:pPr>
              <w:rPr>
                <w:rFonts w:ascii="Arial" w:hAnsi="Arial" w:cs="Arial"/>
                <w:b/>
                <w:bCs/>
              </w:rPr>
            </w:pPr>
            <w:r>
              <w:rPr>
                <w:rFonts w:ascii="Arial" w:hAnsi="Arial" w:cs="Arial"/>
                <w:b/>
                <w:bCs/>
              </w:rPr>
              <w:t> </w:t>
            </w:r>
          </w:p>
        </w:tc>
        <w:tc>
          <w:tcPr>
            <w:tcW w:w="6945"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C13A89" w:rsidRDefault="00C13A89" w:rsidP="000F43D7">
            <w:pPr>
              <w:rPr>
                <w:rFonts w:ascii="Arial" w:hAnsi="Arial" w:cs="Arial"/>
              </w:rPr>
            </w:pPr>
            <w:r>
              <w:rPr>
                <w:rFonts w:ascii="Arial" w:hAnsi="Arial" w:cs="Arial"/>
              </w:rPr>
              <w:t> </w:t>
            </w:r>
          </w:p>
        </w:tc>
        <w:tc>
          <w:tcPr>
            <w:tcW w:w="5670"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C13A89" w:rsidRDefault="00C13A89" w:rsidP="000F43D7">
            <w:pPr>
              <w:rPr>
                <w:rFonts w:ascii="Arial" w:hAnsi="Arial" w:cs="Arial"/>
              </w:rPr>
            </w:pPr>
            <w:r>
              <w:rPr>
                <w:rFonts w:ascii="Arial" w:hAnsi="Arial" w:cs="Arial"/>
              </w:rPr>
              <w:t> </w:t>
            </w:r>
          </w:p>
        </w:tc>
      </w:tr>
    </w:tbl>
    <w:p w:rsidR="004602FD" w:rsidRPr="00100689" w:rsidRDefault="00100689" w:rsidP="00100689">
      <w:pPr>
        <w:jc w:val="center"/>
        <w:rPr>
          <w:sz w:val="26"/>
          <w:szCs w:val="26"/>
        </w:rPr>
      </w:pPr>
      <w:r>
        <w:rPr>
          <w:rFonts w:ascii="Arial" w:eastAsia="Arial Unicode MS" w:hAnsi="Arial" w:cs="Arial"/>
          <w:sz w:val="24"/>
          <w:szCs w:val="24"/>
        </w:rPr>
        <w:t xml:space="preserve">Este formulário deverá ser encaminhado à ANP para o endereço eletrônico: </w:t>
      </w:r>
      <w:r w:rsidR="00C96874" w:rsidRPr="00C96874">
        <w:rPr>
          <w:rFonts w:ascii="Arial" w:eastAsia="Arial Unicode MS" w:hAnsi="Arial" w:cs="Arial"/>
          <w:i/>
          <w:sz w:val="24"/>
          <w:szCs w:val="24"/>
        </w:rPr>
        <w:t>tpc_</w:t>
      </w:r>
      <w:r w:rsidR="00A267DE">
        <w:rPr>
          <w:rFonts w:ascii="Arial" w:eastAsia="Arial Unicode MS" w:hAnsi="Arial" w:cs="Arial"/>
          <w:i/>
          <w:sz w:val="24"/>
          <w:szCs w:val="24"/>
        </w:rPr>
        <w:t>verticalizacao</w:t>
      </w:r>
      <w:r w:rsidR="00C96874" w:rsidRPr="00C96874">
        <w:rPr>
          <w:rFonts w:ascii="Arial" w:eastAsia="Arial Unicode MS" w:hAnsi="Arial" w:cs="Arial"/>
          <w:i/>
          <w:sz w:val="24"/>
          <w:szCs w:val="24"/>
        </w:rPr>
        <w:t>@anp.gov.br</w:t>
      </w:r>
      <w:r w:rsidR="00570C4C">
        <w:rPr>
          <w:rFonts w:ascii="Arial" w:eastAsia="Arial Unicode MS" w:hAnsi="Arial" w:cs="Arial"/>
          <w:sz w:val="24"/>
          <w:szCs w:val="24"/>
        </w:rPr>
        <w:t>.</w:t>
      </w:r>
    </w:p>
    <w:sectPr w:rsidR="004602FD" w:rsidRPr="00100689" w:rsidSect="00CF534B">
      <w:pgSz w:w="16840" w:h="11907" w:orient="landscape" w:code="9"/>
      <w:pgMar w:top="1418"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D39" w:rsidRDefault="00B05D39" w:rsidP="005B1E73">
      <w:r>
        <w:separator/>
      </w:r>
    </w:p>
  </w:endnote>
  <w:endnote w:type="continuationSeparator" w:id="0">
    <w:p w:rsidR="00B05D39" w:rsidRDefault="00B05D39" w:rsidP="005B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D39" w:rsidRDefault="00B05D39" w:rsidP="005B1E73">
      <w:r>
        <w:separator/>
      </w:r>
    </w:p>
  </w:footnote>
  <w:footnote w:type="continuationSeparator" w:id="0">
    <w:p w:rsidR="00B05D39" w:rsidRDefault="00B05D39" w:rsidP="005B1E73">
      <w:r>
        <w:continuationSeparator/>
      </w:r>
    </w:p>
  </w:footnote>
  <w:footnote w:id="1">
    <w:p w:rsidR="005B1E73" w:rsidRPr="00C012BE" w:rsidRDefault="005B1E73" w:rsidP="005B1E73">
      <w:pPr>
        <w:pStyle w:val="Textodenotaderodap"/>
        <w:jc w:val="both"/>
        <w:rPr>
          <w:rFonts w:ascii="Arial" w:hAnsi="Arial" w:cs="Arial"/>
        </w:rPr>
      </w:pPr>
      <w:r w:rsidRPr="00C012BE">
        <w:rPr>
          <w:rStyle w:val="Refdenotaderodap"/>
          <w:rFonts w:ascii="Arial" w:hAnsi="Arial" w:cs="Arial"/>
        </w:rPr>
        <w:footnoteRef/>
      </w:r>
      <w:r w:rsidRPr="00C012BE">
        <w:rPr>
          <w:rFonts w:ascii="Arial" w:hAnsi="Arial" w:cs="Arial"/>
        </w:rPr>
        <w:t xml:space="preserve"> Vide, por exemplo, </w:t>
      </w:r>
      <w:r>
        <w:rPr>
          <w:rFonts w:ascii="Arial" w:hAnsi="Arial" w:cs="Arial"/>
        </w:rPr>
        <w:t xml:space="preserve">Processos Administrativos </w:t>
      </w:r>
      <w:proofErr w:type="spellStart"/>
      <w:r>
        <w:rPr>
          <w:rFonts w:ascii="Arial" w:hAnsi="Arial" w:cs="Arial"/>
        </w:rPr>
        <w:t>nºs</w:t>
      </w:r>
      <w:proofErr w:type="spellEnd"/>
      <w:r>
        <w:rPr>
          <w:rFonts w:ascii="Arial" w:hAnsi="Arial" w:cs="Arial"/>
        </w:rPr>
        <w:t xml:space="preserve"> 08012.005545/1999-16 e </w:t>
      </w:r>
      <w:r w:rsidRPr="00C012BE">
        <w:rPr>
          <w:rFonts w:ascii="Arial" w:hAnsi="Arial" w:cs="Arial"/>
        </w:rPr>
        <w:t>08700.002821/2014­09</w:t>
      </w:r>
      <w:r>
        <w:rPr>
          <w:rFonts w:ascii="Arial" w:hAnsi="Arial" w:cs="Arial"/>
        </w:rPr>
        <w:t xml:space="preserve">; ou Atos de Concentração </w:t>
      </w:r>
      <w:proofErr w:type="spellStart"/>
      <w:r>
        <w:rPr>
          <w:rFonts w:ascii="Arial" w:hAnsi="Arial" w:cs="Arial"/>
        </w:rPr>
        <w:t>nºs</w:t>
      </w:r>
      <w:proofErr w:type="spellEnd"/>
      <w:r>
        <w:rPr>
          <w:rFonts w:ascii="Arial" w:hAnsi="Arial" w:cs="Arial"/>
        </w:rPr>
        <w:t xml:space="preserve"> 08012.005539/2004-60, 08012.002820/2007-93 e </w:t>
      </w:r>
      <w:r w:rsidRPr="00C012BE">
        <w:rPr>
          <w:rFonts w:ascii="Arial" w:hAnsi="Arial" w:cs="Arial"/>
        </w:rPr>
        <w:t>08700.006444/2016-49</w:t>
      </w:r>
      <w:r>
        <w:rPr>
          <w:rFonts w:ascii="Arial" w:hAnsi="Arial" w:cs="Arial"/>
        </w:rPr>
        <w:t>.</w:t>
      </w:r>
    </w:p>
  </w:footnote>
  <w:footnote w:id="2">
    <w:p w:rsidR="005B1E73" w:rsidRPr="000720B6" w:rsidRDefault="005B1E73" w:rsidP="005B1E73">
      <w:pPr>
        <w:pStyle w:val="Textodenotaderodap"/>
        <w:jc w:val="both"/>
        <w:rPr>
          <w:rFonts w:ascii="Arial" w:hAnsi="Arial" w:cs="Arial"/>
        </w:rPr>
      </w:pPr>
      <w:r w:rsidRPr="008D6A86">
        <w:rPr>
          <w:rStyle w:val="Refdenotaderodap"/>
          <w:rFonts w:ascii="Arial" w:hAnsi="Arial" w:cs="Arial"/>
        </w:rPr>
        <w:footnoteRef/>
      </w:r>
      <w:r w:rsidRPr="000720B6">
        <w:rPr>
          <w:rFonts w:ascii="Arial" w:hAnsi="Arial" w:cs="Arial"/>
          <w:lang w:val="en-US"/>
        </w:rPr>
        <w:t xml:space="preserve"> Vide, </w:t>
      </w:r>
      <w:proofErr w:type="spellStart"/>
      <w:r w:rsidRPr="000720B6">
        <w:rPr>
          <w:rFonts w:ascii="Arial" w:hAnsi="Arial" w:cs="Arial"/>
          <w:lang w:val="en-US"/>
        </w:rPr>
        <w:t>por</w:t>
      </w:r>
      <w:proofErr w:type="spellEnd"/>
      <w:r w:rsidRPr="000720B6">
        <w:rPr>
          <w:rFonts w:ascii="Arial" w:hAnsi="Arial" w:cs="Arial"/>
          <w:lang w:val="en-US"/>
        </w:rPr>
        <w:t xml:space="preserve"> </w:t>
      </w:r>
      <w:proofErr w:type="spellStart"/>
      <w:r w:rsidRPr="000720B6">
        <w:rPr>
          <w:rFonts w:ascii="Arial" w:hAnsi="Arial" w:cs="Arial"/>
          <w:lang w:val="en-US"/>
        </w:rPr>
        <w:t>exemplo</w:t>
      </w:r>
      <w:proofErr w:type="spellEnd"/>
      <w:r w:rsidRPr="000720B6">
        <w:rPr>
          <w:rFonts w:ascii="Arial" w:hAnsi="Arial" w:cs="Arial"/>
          <w:lang w:val="en-US"/>
        </w:rPr>
        <w:t>, “</w:t>
      </w:r>
      <w:r w:rsidRPr="000720B6">
        <w:rPr>
          <w:rFonts w:ascii="Arial" w:hAnsi="Arial" w:cs="Arial"/>
          <w:i/>
          <w:lang w:val="en-US"/>
        </w:rPr>
        <w:t>Competition Policy for Vertical Relations in Gasoline Retailing</w:t>
      </w:r>
      <w:r w:rsidRPr="000720B6">
        <w:rPr>
          <w:rFonts w:ascii="Arial" w:hAnsi="Arial" w:cs="Arial"/>
          <w:lang w:val="en-US"/>
        </w:rPr>
        <w:t xml:space="preserve">” (2008). </w:t>
      </w:r>
      <w:proofErr w:type="spellStart"/>
      <w:r w:rsidRPr="008D6A86">
        <w:rPr>
          <w:rFonts w:ascii="Arial" w:hAnsi="Arial" w:cs="Arial"/>
        </w:rPr>
        <w:t>Disponíve</w:t>
      </w:r>
      <w:proofErr w:type="spellEnd"/>
      <w:r w:rsidRPr="008D6A86">
        <w:rPr>
          <w:rFonts w:ascii="Arial" w:hAnsi="Arial" w:cs="Arial"/>
        </w:rPr>
        <w:t xml:space="preserve"> em &lt;</w:t>
      </w:r>
      <w:proofErr w:type="spellStart"/>
      <w:r w:rsidRPr="008D6A86">
        <w:rPr>
          <w:rFonts w:ascii="Arial" w:hAnsi="Arial" w:cs="Arial"/>
        </w:rPr>
        <w:t>https</w:t>
      </w:r>
      <w:proofErr w:type="spellEnd"/>
      <w:r w:rsidRPr="008D6A86">
        <w:rPr>
          <w:rFonts w:ascii="Arial" w:hAnsi="Arial" w:cs="Arial"/>
        </w:rPr>
        <w:t>://www.oecd.org/</w:t>
      </w:r>
      <w:proofErr w:type="spellStart"/>
      <w:r w:rsidRPr="008D6A86">
        <w:rPr>
          <w:rFonts w:ascii="Arial" w:hAnsi="Arial" w:cs="Arial"/>
        </w:rPr>
        <w:t>daf</w:t>
      </w:r>
      <w:proofErr w:type="spellEnd"/>
      <w:r w:rsidRPr="008D6A86">
        <w:rPr>
          <w:rFonts w:ascii="Arial" w:hAnsi="Arial" w:cs="Arial"/>
        </w:rPr>
        <w:t>/</w:t>
      </w:r>
      <w:proofErr w:type="spellStart"/>
      <w:r w:rsidRPr="008D6A86">
        <w:rPr>
          <w:rFonts w:ascii="Arial" w:hAnsi="Arial" w:cs="Arial"/>
        </w:rPr>
        <w:t>competition</w:t>
      </w:r>
      <w:proofErr w:type="spellEnd"/>
      <w:r w:rsidRPr="008D6A86">
        <w:rPr>
          <w:rFonts w:ascii="Arial" w:hAnsi="Arial" w:cs="Arial"/>
        </w:rPr>
        <w:t xml:space="preserve">/abuse/43040511.pdf&gt;. </w:t>
      </w:r>
      <w:r w:rsidRPr="000720B6">
        <w:rPr>
          <w:rFonts w:ascii="Arial" w:hAnsi="Arial" w:cs="Arial"/>
        </w:rPr>
        <w:t>Acessado em 12.11.2018.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71446"/>
    <w:multiLevelType w:val="multilevel"/>
    <w:tmpl w:val="7B283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41813C9"/>
    <w:multiLevelType w:val="multilevel"/>
    <w:tmpl w:val="DF6E21D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742C"/>
    <w:rsid w:val="0002343D"/>
    <w:rsid w:val="000303C4"/>
    <w:rsid w:val="00050F3F"/>
    <w:rsid w:val="000873C6"/>
    <w:rsid w:val="000C72BB"/>
    <w:rsid w:val="000C742C"/>
    <w:rsid w:val="000D4114"/>
    <w:rsid w:val="000F43D7"/>
    <w:rsid w:val="00100689"/>
    <w:rsid w:val="0010535D"/>
    <w:rsid w:val="001312BC"/>
    <w:rsid w:val="00153BBA"/>
    <w:rsid w:val="001C5D32"/>
    <w:rsid w:val="001F74A0"/>
    <w:rsid w:val="002109D6"/>
    <w:rsid w:val="002555FE"/>
    <w:rsid w:val="0026582D"/>
    <w:rsid w:val="002808DC"/>
    <w:rsid w:val="00287B41"/>
    <w:rsid w:val="00335A11"/>
    <w:rsid w:val="004017EF"/>
    <w:rsid w:val="00452D91"/>
    <w:rsid w:val="004602FD"/>
    <w:rsid w:val="00482F43"/>
    <w:rsid w:val="00494A88"/>
    <w:rsid w:val="004C5AA8"/>
    <w:rsid w:val="004E6BA1"/>
    <w:rsid w:val="00570C4C"/>
    <w:rsid w:val="00586DD3"/>
    <w:rsid w:val="005B1E73"/>
    <w:rsid w:val="005E2BE6"/>
    <w:rsid w:val="0063117B"/>
    <w:rsid w:val="00675148"/>
    <w:rsid w:val="006C7878"/>
    <w:rsid w:val="006E69BF"/>
    <w:rsid w:val="007220DF"/>
    <w:rsid w:val="00735912"/>
    <w:rsid w:val="00754009"/>
    <w:rsid w:val="00762754"/>
    <w:rsid w:val="00834A5C"/>
    <w:rsid w:val="0085243A"/>
    <w:rsid w:val="00852D24"/>
    <w:rsid w:val="008C0A6C"/>
    <w:rsid w:val="008E1D4F"/>
    <w:rsid w:val="0096568C"/>
    <w:rsid w:val="009A7203"/>
    <w:rsid w:val="009B4815"/>
    <w:rsid w:val="009E5AD5"/>
    <w:rsid w:val="009F4F0E"/>
    <w:rsid w:val="00A225FB"/>
    <w:rsid w:val="00A267DE"/>
    <w:rsid w:val="00A8005F"/>
    <w:rsid w:val="00A94E85"/>
    <w:rsid w:val="00AB6177"/>
    <w:rsid w:val="00AC5BC1"/>
    <w:rsid w:val="00AF2899"/>
    <w:rsid w:val="00B05D39"/>
    <w:rsid w:val="00B4490B"/>
    <w:rsid w:val="00B74C89"/>
    <w:rsid w:val="00B87441"/>
    <w:rsid w:val="00BB004F"/>
    <w:rsid w:val="00BC59FF"/>
    <w:rsid w:val="00BD479F"/>
    <w:rsid w:val="00BD5993"/>
    <w:rsid w:val="00C02634"/>
    <w:rsid w:val="00C13A89"/>
    <w:rsid w:val="00C74BAD"/>
    <w:rsid w:val="00C96874"/>
    <w:rsid w:val="00CB4E90"/>
    <w:rsid w:val="00CC5472"/>
    <w:rsid w:val="00CD7D9E"/>
    <w:rsid w:val="00CF2605"/>
    <w:rsid w:val="00CF534B"/>
    <w:rsid w:val="00D060D3"/>
    <w:rsid w:val="00D11D93"/>
    <w:rsid w:val="00DC0FFA"/>
    <w:rsid w:val="00DE64B2"/>
    <w:rsid w:val="00E06319"/>
    <w:rsid w:val="00E51418"/>
    <w:rsid w:val="00EA1B67"/>
    <w:rsid w:val="00ED7714"/>
    <w:rsid w:val="00F026F8"/>
    <w:rsid w:val="00F229D8"/>
    <w:rsid w:val="00FB0E77"/>
    <w:rsid w:val="00FD2C11"/>
    <w:rsid w:val="00FD3A8A"/>
    <w:rsid w:val="00FD66A5"/>
    <w:rsid w:val="00FF4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1038A12"/>
  <w15:docId w15:val="{BC848153-FA90-4E2B-A463-B61D7384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2BE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CF2605"/>
    <w:pPr>
      <w:autoSpaceDE w:val="0"/>
      <w:autoSpaceDN w:val="0"/>
      <w:adjustRightInd w:val="0"/>
      <w:jc w:val="both"/>
    </w:pPr>
    <w:rPr>
      <w:color w:val="000000"/>
      <w:sz w:val="24"/>
      <w:szCs w:val="24"/>
    </w:rPr>
  </w:style>
  <w:style w:type="character" w:customStyle="1" w:styleId="CorpodetextoChar">
    <w:name w:val="Corpo de texto Char"/>
    <w:basedOn w:val="Fontepargpadro"/>
    <w:link w:val="Corpodetexto"/>
    <w:semiHidden/>
    <w:rsid w:val="00CF2605"/>
    <w:rPr>
      <w:color w:val="000000"/>
      <w:sz w:val="24"/>
      <w:szCs w:val="24"/>
    </w:rPr>
  </w:style>
  <w:style w:type="paragraph" w:styleId="Legenda">
    <w:name w:val="caption"/>
    <w:basedOn w:val="Normal"/>
    <w:next w:val="Normal"/>
    <w:qFormat/>
    <w:rsid w:val="00BD5993"/>
    <w:rPr>
      <w:rFonts w:ascii="Arial" w:hAnsi="Arial"/>
      <w:sz w:val="24"/>
    </w:rPr>
  </w:style>
  <w:style w:type="character" w:styleId="Hyperlink">
    <w:name w:val="Hyperlink"/>
    <w:basedOn w:val="Fontepargpadro"/>
    <w:uiPriority w:val="99"/>
    <w:unhideWhenUsed/>
    <w:rsid w:val="00100689"/>
    <w:rPr>
      <w:color w:val="0000FF"/>
      <w:u w:val="single"/>
    </w:rPr>
  </w:style>
  <w:style w:type="paragraph" w:styleId="Textodenotaderodap">
    <w:name w:val="footnote text"/>
    <w:basedOn w:val="Normal"/>
    <w:link w:val="TextodenotaderodapChar"/>
    <w:uiPriority w:val="99"/>
    <w:semiHidden/>
    <w:unhideWhenUsed/>
    <w:rsid w:val="005B1E73"/>
    <w:rPr>
      <w:rFonts w:asciiTheme="minorHAnsi" w:eastAsiaTheme="minorHAnsi" w:hAnsiTheme="minorHAnsi" w:cstheme="minorBidi"/>
      <w:lang w:eastAsia="en-US"/>
    </w:rPr>
  </w:style>
  <w:style w:type="character" w:customStyle="1" w:styleId="TextodenotaderodapChar">
    <w:name w:val="Texto de nota de rodapé Char"/>
    <w:basedOn w:val="Fontepargpadro"/>
    <w:link w:val="Textodenotaderodap"/>
    <w:uiPriority w:val="99"/>
    <w:semiHidden/>
    <w:rsid w:val="005B1E73"/>
    <w:rPr>
      <w:rFonts w:asciiTheme="minorHAnsi" w:eastAsiaTheme="minorHAnsi" w:hAnsiTheme="minorHAnsi" w:cstheme="minorBidi"/>
      <w:lang w:eastAsia="en-US"/>
    </w:rPr>
  </w:style>
  <w:style w:type="character" w:styleId="Refdenotaderodap">
    <w:name w:val="footnote reference"/>
    <w:basedOn w:val="Fontepargpadro"/>
    <w:uiPriority w:val="99"/>
    <w:semiHidden/>
    <w:unhideWhenUsed/>
    <w:rsid w:val="005B1E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621</Words>
  <Characters>3359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CONSULTA PÚBLICA PARA REVISÃO DA PORTARIA ANP 248/99</vt:lpstr>
    </vt:vector>
  </TitlesOfParts>
  <Company>Anp</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 PÚBLICA PARA REVISÃO DA PORTARIA ANP 248/99</dc:title>
  <dc:creator>Anp</dc:creator>
  <cp:lastModifiedBy>Rodrigo Zingales</cp:lastModifiedBy>
  <cp:revision>8</cp:revision>
  <cp:lastPrinted>2010-12-28T18:08:00Z</cp:lastPrinted>
  <dcterms:created xsi:type="dcterms:W3CDTF">2018-09-17T22:01:00Z</dcterms:created>
  <dcterms:modified xsi:type="dcterms:W3CDTF">2018-11-19T16:31:00Z</dcterms:modified>
</cp:coreProperties>
</file>